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81" w:rsidRDefault="00EC7B5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681" w:rsidRDefault="00EC7B5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694681" w:rsidRDefault="00EC7B5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694681" w:rsidRDefault="00EC7B5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694681" w:rsidRDefault="00EC7B5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694681" w:rsidRDefault="00694681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4681" w:rsidRDefault="00EC7B5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694681" w:rsidRDefault="00EC7B5C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694681" w:rsidRDefault="00550CEE" w:rsidP="00550CEE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12.09.2018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EC7B5C">
        <w:rPr>
          <w:rFonts w:ascii="Times New Roman" w:hAnsi="Times New Roman"/>
          <w:b/>
          <w:sz w:val="28"/>
          <w:szCs w:val="28"/>
          <w:lang w:val="uk-UA"/>
        </w:rPr>
        <w:tab/>
      </w:r>
      <w:r w:rsidR="00EC7B5C">
        <w:rPr>
          <w:rFonts w:ascii="Times New Roman" w:hAnsi="Times New Roman"/>
          <w:b/>
          <w:sz w:val="28"/>
          <w:szCs w:val="28"/>
          <w:lang w:val="uk-UA"/>
        </w:rPr>
        <w:tab/>
      </w:r>
      <w:r w:rsidR="00EC7B5C">
        <w:rPr>
          <w:rFonts w:ascii="Times New Roman" w:hAnsi="Times New Roman"/>
          <w:b/>
          <w:sz w:val="28"/>
          <w:szCs w:val="28"/>
          <w:lang w:val="uk-UA"/>
        </w:rPr>
        <w:tab/>
      </w:r>
      <w:r w:rsidR="00EC7B5C">
        <w:rPr>
          <w:rFonts w:ascii="Times New Roman" w:hAnsi="Times New Roman"/>
          <w:b/>
          <w:sz w:val="28"/>
          <w:szCs w:val="28"/>
          <w:lang w:val="uk-UA"/>
        </w:rPr>
        <w:tab/>
      </w:r>
      <w:r w:rsidR="00EC7B5C">
        <w:rPr>
          <w:rFonts w:ascii="Times New Roman" w:hAnsi="Times New Roman"/>
          <w:b/>
          <w:sz w:val="28"/>
          <w:szCs w:val="28"/>
          <w:lang w:val="uk-UA"/>
        </w:rPr>
        <w:tab/>
      </w:r>
      <w:r w:rsidR="00EC7B5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419-р</w:t>
      </w:r>
    </w:p>
    <w:p w:rsidR="00694681" w:rsidRDefault="00694681">
      <w:pPr>
        <w:pStyle w:val="ac"/>
        <w:jc w:val="center"/>
        <w:rPr>
          <w:sz w:val="28"/>
          <w:szCs w:val="28"/>
          <w:lang w:val="uk-UA"/>
        </w:rPr>
      </w:pPr>
    </w:p>
    <w:p w:rsidR="00694681" w:rsidRPr="00EC7B5C" w:rsidRDefault="00694681">
      <w:pPr>
        <w:pStyle w:val="ac"/>
        <w:jc w:val="center"/>
        <w:rPr>
          <w:sz w:val="28"/>
          <w:szCs w:val="28"/>
          <w:u w:val="single"/>
          <w:lang w:val="uk-UA"/>
        </w:rPr>
      </w:pPr>
    </w:p>
    <w:p w:rsidR="00EC7B5C" w:rsidRPr="00EC7B5C" w:rsidRDefault="00EC7B5C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7B5C">
        <w:rPr>
          <w:rFonts w:ascii="Times New Roman" w:hAnsi="Times New Roman"/>
          <w:b/>
          <w:sz w:val="28"/>
          <w:szCs w:val="28"/>
          <w:lang w:val="uk-UA"/>
        </w:rPr>
        <w:t>Про затвердження паспорта міської програми «Соціальне замовлення          КП «Телерадіокомпанія «Мелітополь» Мелітопольської міської ради Запорізької області» та втрату чинності розпорядження міського голови від 15.06.2018 № 300-р</w:t>
      </w:r>
    </w:p>
    <w:p w:rsidR="00EC7B5C" w:rsidRDefault="00EC7B5C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681" w:rsidRDefault="00EC7B5C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>
        <w:rPr>
          <w:rFonts w:ascii="Times New Roman" w:hAnsi="Times New Roman"/>
          <w:sz w:val="28"/>
          <w:szCs w:val="28"/>
          <w:lang w:val="uk-UA"/>
        </w:rPr>
        <w:t>ідповідно до  наказу Міністерства  фінансів  України  від 12.12.2011 №1605 «Про внесення змін до наказу Міністерства фінансів України від 29.12.2002 №1098», на виконання розпорядження міського голови від 29.12.2016    №883-р  «Про затвердження форми паспортів і звітів бюджетних та міських програм»</w:t>
      </w:r>
    </w:p>
    <w:p w:rsidR="00694681" w:rsidRPr="00EC7B5C" w:rsidRDefault="00694681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7B5C" w:rsidRPr="00EC7B5C" w:rsidRDefault="00EC7B5C" w:rsidP="00EC7B5C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EC7B5C">
        <w:rPr>
          <w:rFonts w:ascii="Times New Roman" w:hAnsi="Times New Roman"/>
          <w:sz w:val="28"/>
          <w:szCs w:val="28"/>
          <w:lang w:val="uk-UA"/>
        </w:rPr>
        <w:t>ЗОБОВ'ЯЗУЮ:</w:t>
      </w:r>
    </w:p>
    <w:p w:rsidR="00694681" w:rsidRPr="00EC7B5C" w:rsidRDefault="00694681">
      <w:pPr>
        <w:pStyle w:val="ac"/>
        <w:jc w:val="both"/>
        <w:rPr>
          <w:lang w:val="uk-UA"/>
        </w:rPr>
      </w:pPr>
    </w:p>
    <w:p w:rsidR="00694681" w:rsidRDefault="00EC7B5C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в новій редакції паспорт міської програми «Соціальне замовлення КП «Телерадіокомпанія «Мелітополь» Мелітопольської міської ради Запорізької області» зі змінами відповідно до рішення 35 сесії Мелітопольської міської ради Запорізької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29.11.2017 № 3/30</w:t>
      </w:r>
      <w:r w:rsidRPr="00EC7B5C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  <w:r>
        <w:rPr>
          <w:rFonts w:ascii="Times New Roman" w:hAnsi="Times New Roman"/>
          <w:sz w:val="28"/>
          <w:szCs w:val="28"/>
          <w:shd w:val="clear" w:color="auto" w:fill="FF3333"/>
          <w:lang w:val="uk-UA"/>
        </w:rPr>
        <w:t xml:space="preserve"> </w:t>
      </w:r>
    </w:p>
    <w:p w:rsidR="00694681" w:rsidRDefault="00EC7B5C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7B5C">
        <w:rPr>
          <w:rFonts w:ascii="Times New Roman" w:hAnsi="Times New Roman"/>
          <w:sz w:val="28"/>
          <w:szCs w:val="28"/>
          <w:lang w:val="uk-UA"/>
        </w:rPr>
        <w:t xml:space="preserve">2. Визнати </w:t>
      </w:r>
      <w:r>
        <w:rPr>
          <w:rFonts w:ascii="Times New Roman" w:hAnsi="Times New Roman"/>
          <w:sz w:val="28"/>
          <w:szCs w:val="28"/>
          <w:lang w:val="uk-UA"/>
        </w:rPr>
        <w:t>таким, що втратило чинність, розпорядження міського голови від 15.06.2018 №300-р «Про затвердження паспорта міської      програми «Соціальне замовлення КП «Телерадіокомпанія «Мелітополь» Мелітопольської міської ради Запорізької області».</w:t>
      </w:r>
    </w:p>
    <w:p w:rsidR="00694681" w:rsidRDefault="00EC7B5C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першого заступника міського голови з питань  діяльності виконавчих органів ради </w:t>
      </w:r>
      <w:r w:rsidRPr="00EC7B5C">
        <w:rPr>
          <w:rFonts w:ascii="Times New Roman" w:hAnsi="Times New Roman"/>
          <w:sz w:val="28"/>
          <w:szCs w:val="28"/>
          <w:lang w:val="uk-UA"/>
        </w:rPr>
        <w:t>Рудакову І.</w:t>
      </w:r>
    </w:p>
    <w:p w:rsidR="00694681" w:rsidRDefault="00694681">
      <w:pPr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</w:p>
    <w:p w:rsidR="00694681" w:rsidRDefault="00694681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</w:p>
    <w:p w:rsidR="00694681" w:rsidRDefault="00EC7B5C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 міський голова                                                      С.МІНЬКО</w:t>
      </w:r>
    </w:p>
    <w:p w:rsidR="00694681" w:rsidRDefault="00694681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</w:p>
    <w:p w:rsidR="003864A0" w:rsidRDefault="003864A0" w:rsidP="00EC7B5C">
      <w:pPr>
        <w:pStyle w:val="ac"/>
        <w:rPr>
          <w:rFonts w:ascii="Times New Roman" w:hAnsi="Times New Roman"/>
          <w:sz w:val="24"/>
          <w:szCs w:val="24"/>
          <w:lang w:val="uk-UA"/>
        </w:rPr>
        <w:sectPr w:rsidR="003864A0">
          <w:pgSz w:w="11906" w:h="16838"/>
          <w:pgMar w:top="1134" w:right="850" w:bottom="224" w:left="1701" w:header="0" w:footer="0" w:gutter="0"/>
          <w:cols w:space="720"/>
          <w:formProt w:val="0"/>
          <w:docGrid w:linePitch="360" w:charSpace="-2049"/>
        </w:sectPr>
      </w:pPr>
    </w:p>
    <w:p w:rsidR="003864A0" w:rsidRDefault="003864A0" w:rsidP="003864A0">
      <w:pPr>
        <w:ind w:left="8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3864A0" w:rsidRDefault="003864A0" w:rsidP="003864A0">
      <w:pPr>
        <w:ind w:left="8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3864A0" w:rsidRPr="00DD4ABE" w:rsidRDefault="003864A0" w:rsidP="003864A0">
      <w:pPr>
        <w:ind w:left="854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12.09.2018 № 419-р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p w:rsidR="003864A0" w:rsidRDefault="003864A0" w:rsidP="003864A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ПАСПОРТ</w:t>
      </w:r>
    </w:p>
    <w:p w:rsidR="003864A0" w:rsidRDefault="003864A0" w:rsidP="003864A0">
      <w:pPr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міської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програми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на  2018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рік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p w:rsidR="003864A0" w:rsidRDefault="003864A0" w:rsidP="003864A0">
      <w:pPr>
        <w:jc w:val="center"/>
        <w:rPr>
          <w:rFonts w:ascii="Times New Roman" w:hAnsi="Times New Roman"/>
          <w:szCs w:val="28"/>
        </w:rPr>
      </w:pPr>
    </w:p>
    <w:p w:rsidR="003864A0" w:rsidRDefault="003864A0" w:rsidP="003864A0">
      <w:pPr>
        <w:ind w:firstLine="3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0200000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3864A0" w:rsidRDefault="003864A0" w:rsidP="003864A0">
      <w:pPr>
        <w:spacing w:before="120"/>
        <w:ind w:left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u w:val="single"/>
        </w:rPr>
        <w:t xml:space="preserve">0210000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виконавця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3864A0" w:rsidRDefault="003864A0" w:rsidP="003864A0">
      <w:pPr>
        <w:spacing w:before="120"/>
        <w:ind w:left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>0218420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0830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Соціальне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замовлення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КП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</w:rPr>
        <w:t>(КПКВК МБ) (КФКВК)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3864A0" w:rsidRDefault="003864A0" w:rsidP="003864A0">
      <w:pPr>
        <w:spacing w:before="120"/>
        <w:ind w:left="363"/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Обсяг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асигнувань</w:t>
      </w:r>
      <w:proofErr w:type="spellEnd"/>
      <w:r>
        <w:rPr>
          <w:rFonts w:ascii="Times New Roman" w:hAnsi="Times New Roman"/>
          <w:sz w:val="24"/>
          <w:szCs w:val="24"/>
        </w:rPr>
        <w:t xml:space="preserve"> – 310,00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hAnsi="Times New Roman"/>
          <w:sz w:val="24"/>
          <w:szCs w:val="24"/>
        </w:rPr>
        <w:t>числі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310,00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спеціального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864A0" w:rsidRDefault="003864A0" w:rsidP="003864A0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Підстави для виконання міської програми: Закон України «Про місцеве самоврядування в Україні», Бюджетний кодекс України, рішення 35 сесії  Мелітопольської міської ради Запорізької області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 xml:space="preserve">І скликання від 29.11.2017 № 3/30 «Про затвердження міської     програми «Соціальне замовлення КП «Телерадіокомпанія «Мелітополь» Мелітопольської міської ради Запорізької області» зі змінами, рішення 35 сесії  Мелітопольської міської ради Запорізької області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 xml:space="preserve">І скликання  від 29.11.2017 № 4/2 «Про міський бюджет на 2018 рік» зі змінами. 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br/>
      </w:r>
    </w:p>
    <w:p w:rsidR="003864A0" w:rsidRPr="00241C7F" w:rsidRDefault="003864A0" w:rsidP="003864A0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Мета програми : забезпечення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3864A0" w:rsidRDefault="003864A0" w:rsidP="003864A0">
      <w:pPr>
        <w:spacing w:after="120"/>
        <w:ind w:left="363"/>
        <w:rPr>
          <w:rFonts w:ascii="Times New Roman" w:hAnsi="Times New Roman"/>
          <w:sz w:val="24"/>
          <w:szCs w:val="24"/>
        </w:rPr>
      </w:pPr>
      <w:r w:rsidRPr="003864A0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Обсяги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</w:p>
    <w:p w:rsidR="003864A0" w:rsidRDefault="003864A0" w:rsidP="003864A0">
      <w:pPr>
        <w:spacing w:before="60"/>
        <w:ind w:left="2114" w:firstLine="921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69"/>
      </w:tblGrid>
      <w:tr w:rsidR="003864A0" w:rsidTr="0056534E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та заходи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Загальний</w:t>
            </w:r>
            <w:proofErr w:type="spellEnd"/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Спеціальний</w:t>
            </w:r>
            <w:proofErr w:type="spellEnd"/>
            <w:r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Разом</w:t>
            </w:r>
          </w:p>
        </w:tc>
      </w:tr>
      <w:tr w:rsidR="003864A0" w:rsidTr="0056534E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64A0" w:rsidTr="0056534E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spellStart"/>
            <w:r>
              <w:rPr>
                <w:rFonts w:ascii="Times New Roman" w:hAnsi="Times New Roman"/>
              </w:rPr>
              <w:t>Всебічне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висвітлення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життя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міста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активне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впливання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громадську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позицію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випуску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 xml:space="preserve">, а </w:t>
            </w:r>
            <w:proofErr w:type="spellStart"/>
            <w:r>
              <w:rPr>
                <w:rFonts w:ascii="Times New Roman" w:hAnsi="Times New Roman"/>
              </w:rPr>
              <w:t>саме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864A0" w:rsidRDefault="003864A0" w:rsidP="005653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«Слово депутату» </w:t>
            </w:r>
          </w:p>
          <w:p w:rsidR="003864A0" w:rsidRDefault="003864A0" w:rsidP="005653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</w:t>
            </w: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</w:t>
            </w: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191,0</w:t>
            </w:r>
          </w:p>
        </w:tc>
      </w:tr>
      <w:tr w:rsidR="003864A0" w:rsidTr="0056534E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310,00</w:t>
            </w:r>
          </w:p>
        </w:tc>
      </w:tr>
    </w:tbl>
    <w:p w:rsidR="003864A0" w:rsidRDefault="003864A0" w:rsidP="003864A0">
      <w:pPr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Результативні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</w:p>
    <w:p w:rsidR="003864A0" w:rsidRDefault="003864A0" w:rsidP="003864A0">
      <w:pPr>
        <w:ind w:firstLine="3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25"/>
      </w:tblGrid>
      <w:tr w:rsidR="003864A0" w:rsidTr="0056534E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</w:tr>
      <w:tr w:rsidR="003864A0" w:rsidTr="0056534E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spellStart"/>
            <w:r>
              <w:rPr>
                <w:rFonts w:ascii="Times New Roman" w:hAnsi="Times New Roman"/>
              </w:rPr>
              <w:t>Всебічне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висвітлення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життя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міста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активне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впливання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громадську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позицію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випуску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: «Слово депутату»,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lang w:val="uk-UA"/>
              </w:rPr>
              <w:t>Калькуляція</w:t>
            </w:r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310,00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</w:t>
            </w:r>
            <w:proofErr w:type="spellEnd"/>
            <w:r>
              <w:rPr>
                <w:rFonts w:ascii="Times New Roman" w:hAnsi="Times New Roman"/>
              </w:rPr>
              <w:t xml:space="preserve"> 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</w:rPr>
              <w:t>числі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310,00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119,0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191,0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</w:t>
            </w:r>
            <w:proofErr w:type="spellEnd"/>
            <w:r>
              <w:rPr>
                <w:rFonts w:ascii="Times New Roman" w:hAnsi="Times New Roman"/>
              </w:rPr>
              <w:t xml:space="preserve"> 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47600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76400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ефективності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розмір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витрат</w:t>
            </w:r>
            <w:proofErr w:type="spellEnd"/>
            <w:r>
              <w:rPr>
                <w:rFonts w:ascii="Times New Roman" w:hAnsi="Times New Roman"/>
              </w:rPr>
              <w:t xml:space="preserve"> на одну </w:t>
            </w:r>
            <w:proofErr w:type="spellStart"/>
            <w:r>
              <w:rPr>
                <w:rFonts w:ascii="Times New Roman" w:hAnsi="Times New Roman"/>
              </w:rPr>
              <w:t>телевізійну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обсяг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ефірного</w:t>
            </w:r>
            <w:proofErr w:type="spellEnd"/>
            <w:r>
              <w:rPr>
                <w:rFonts w:ascii="Times New Roman" w:hAnsi="Times New Roman"/>
              </w:rPr>
              <w:t xml:space="preserve"> часу на одну </w:t>
            </w:r>
            <w:proofErr w:type="spellStart"/>
            <w:r>
              <w:rPr>
                <w:rFonts w:ascii="Times New Roman" w:hAnsi="Times New Roman"/>
              </w:rPr>
              <w:t>телевізійну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програму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950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розмір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витрат</w:t>
            </w:r>
            <w:proofErr w:type="spellEnd"/>
            <w:r>
              <w:rPr>
                <w:rFonts w:ascii="Times New Roman" w:hAnsi="Times New Roman"/>
              </w:rPr>
              <w:t xml:space="preserve"> на одну секунду </w:t>
            </w:r>
            <w:proofErr w:type="spellStart"/>
            <w:r>
              <w:rPr>
                <w:rFonts w:ascii="Times New Roman" w:hAnsi="Times New Roman"/>
              </w:rPr>
              <w:t>телевізійної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2,50</w:t>
            </w: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якість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64A0" w:rsidTr="0056534E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Очікувана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якість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виконання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звіт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3864A0" w:rsidRDefault="003864A0" w:rsidP="003864A0">
      <w:pPr>
        <w:ind w:firstLine="426"/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Джерела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864A0" w:rsidRDefault="003864A0" w:rsidP="003864A0">
      <w:pPr>
        <w:ind w:firstLine="1304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-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20"/>
      </w:tblGrid>
      <w:tr w:rsidR="003864A0" w:rsidTr="0056534E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Найменування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станом на </w:t>
            </w:r>
            <w:r>
              <w:rPr>
                <w:rFonts w:ascii="Times New Roman" w:hAnsi="Times New Roman"/>
              </w:rPr>
              <w:br/>
              <w:t xml:space="preserve">01 </w:t>
            </w:r>
            <w:proofErr w:type="spellStart"/>
            <w:r>
              <w:rPr>
                <w:rFonts w:ascii="Times New Roman" w:hAnsi="Times New Roman"/>
              </w:rPr>
              <w:t>січня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кінця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реалізації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інвестиційного</w:t>
            </w:r>
            <w:proofErr w:type="spellEnd"/>
            <w:r>
              <w:rPr>
                <w:rFonts w:ascii="Times New Roman" w:hAnsi="Times New Roman"/>
              </w:rPr>
              <w:t xml:space="preserve"> проекту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Пояснення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що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характеризують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фінансування</w:t>
            </w:r>
            <w:proofErr w:type="spellEnd"/>
          </w:p>
        </w:tc>
      </w:tr>
      <w:tr w:rsidR="003864A0" w:rsidTr="0056534E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Надходження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із</w:t>
            </w:r>
            <w:proofErr w:type="spellEnd"/>
            <w:r>
              <w:rPr>
                <w:rFonts w:ascii="Times New Roman" w:hAnsi="Times New Roman"/>
                <w:i/>
              </w:rPr>
              <w:t xml:space="preserve">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Інші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джерела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фінансування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0" w:rsidTr="0056534E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64A0" w:rsidRDefault="003864A0" w:rsidP="0056534E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Усього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4A0" w:rsidRDefault="003864A0" w:rsidP="0056534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864A0" w:rsidRDefault="003864A0" w:rsidP="003864A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Перший </w:t>
      </w:r>
      <w:proofErr w:type="gramStart"/>
      <w:r>
        <w:rPr>
          <w:rFonts w:ascii="Times New Roman" w:hAnsi="Times New Roman"/>
          <w:sz w:val="24"/>
          <w:szCs w:val="24"/>
        </w:rPr>
        <w:t xml:space="preserve">заступник 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864A0" w:rsidRDefault="003864A0" w:rsidP="003864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Cs w:val="28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241C7F">
        <w:rPr>
          <w:rFonts w:ascii="Times New Roman" w:hAnsi="Times New Roman"/>
          <w:sz w:val="24"/>
          <w:szCs w:val="24"/>
          <w:u w:val="single"/>
        </w:rPr>
        <w:t>І. РУДАКОВА___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864A0" w:rsidRDefault="003864A0" w:rsidP="003864A0">
      <w:pPr>
        <w:spacing w:after="0"/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ПОГОДЖЕНО:</w:t>
      </w:r>
    </w:p>
    <w:p w:rsidR="003864A0" w:rsidRDefault="003864A0" w:rsidP="003864A0">
      <w:pPr>
        <w:spacing w:after="0"/>
        <w:rPr>
          <w:rFonts w:ascii="Times New Roman" w:hAnsi="Times New Roman"/>
          <w:sz w:val="24"/>
          <w:szCs w:val="24"/>
        </w:rPr>
      </w:pPr>
    </w:p>
    <w:p w:rsidR="003864A0" w:rsidRDefault="003864A0" w:rsidP="003864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________________________                  </w:t>
      </w:r>
      <w:r w:rsidRPr="00241C7F">
        <w:rPr>
          <w:rFonts w:ascii="Times New Roman" w:hAnsi="Times New Roman"/>
          <w:sz w:val="24"/>
          <w:szCs w:val="24"/>
        </w:rPr>
        <w:t xml:space="preserve">____ </w:t>
      </w:r>
      <w:r w:rsidRPr="00241C7F">
        <w:rPr>
          <w:rFonts w:ascii="Times New Roman" w:hAnsi="Times New Roman"/>
          <w:sz w:val="24"/>
          <w:szCs w:val="24"/>
          <w:u w:val="single"/>
        </w:rPr>
        <w:t>Я. ЧАБАН</w:t>
      </w:r>
      <w:r w:rsidRPr="00241C7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</w:t>
      </w:r>
    </w:p>
    <w:p w:rsidR="003864A0" w:rsidRDefault="003864A0" w:rsidP="003864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681" w:rsidRPr="003864A0" w:rsidRDefault="00694681" w:rsidP="003864A0">
      <w:pPr>
        <w:pStyle w:val="ac"/>
        <w:rPr>
          <w:rFonts w:ascii="Times New Roman" w:hAnsi="Times New Roman"/>
          <w:sz w:val="24"/>
          <w:szCs w:val="24"/>
        </w:rPr>
      </w:pPr>
    </w:p>
    <w:sectPr w:rsidR="00694681" w:rsidRPr="003864A0">
      <w:pgSz w:w="16838" w:h="11906" w:orient="landscape"/>
      <w:pgMar w:top="360" w:right="1134" w:bottom="180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1"/>
    <w:rsid w:val="003864A0"/>
    <w:rsid w:val="00550CEE"/>
    <w:rsid w:val="00694681"/>
    <w:rsid w:val="00E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B9F"/>
  <w15:docId w15:val="{AA84B011-C3EF-44FC-B89A-9ACD55EB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  <w:spacing w:after="200"/>
    </w:pPr>
    <w:rPr>
      <w:rFonts w:eastAsia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character" w:customStyle="1" w:styleId="a5">
    <w:name w:val="Ниж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paragraph" w:customStyle="1" w:styleId="1">
    <w:name w:val="Заголовок1"/>
    <w:basedOn w:val="a"/>
    <w:next w:val="a6"/>
    <w:rsid w:val="002A126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2A126C"/>
    <w:pPr>
      <w:spacing w:after="120" w:line="288" w:lineRule="auto"/>
    </w:pPr>
  </w:style>
  <w:style w:type="paragraph" w:styleId="a7">
    <w:name w:val="List"/>
    <w:basedOn w:val="a6"/>
    <w:rsid w:val="002A126C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2A126C"/>
    <w:pPr>
      <w:suppressAutoHyphens/>
      <w:spacing w:line="100" w:lineRule="atLeast"/>
    </w:pPr>
    <w:rPr>
      <w:rFonts w:eastAsia="DejaVu Sans"/>
      <w:color w:val="00000A"/>
    </w:rPr>
  </w:style>
  <w:style w:type="paragraph" w:styleId="ad">
    <w:name w:val="head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4305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4</cp:revision>
  <dcterms:created xsi:type="dcterms:W3CDTF">2018-09-06T07:20:00Z</dcterms:created>
  <dcterms:modified xsi:type="dcterms:W3CDTF">2021-08-09T13:07:00Z</dcterms:modified>
  <dc:language>ru-RU</dc:language>
</cp:coreProperties>
</file>